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Sirs,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We refer to recent correspondence herein. We now enclose the Plaintiff’s Notice as to Terms pursuant to </w:t>
      </w:r>
      <w:r>
        <w:t>Civil Liability And Courts Act 2004, s. 17. If these terms are not acceptable to your client, please let us have the Defendant’s notice within the next fourteen days.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faithfully,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8EE9F5-CE5E-4376-8115-7A42244D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2013-06-12T10:02:00Z</cp:lastPrinted>
  <dcterms:created xsi:type="dcterms:W3CDTF">2019-05-14T13:31:00Z</dcterms:created>
  <dcterms:modified xsi:type="dcterms:W3CDTF">2020-07-02T11:09:00Z</dcterms:modified>
</cp:coreProperties>
</file>